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971DF" w14:textId="77777777" w:rsidR="000C1DA0" w:rsidRDefault="00000000">
      <w:pPr>
        <w:pStyle w:val="Title"/>
        <w:spacing w:after="80"/>
        <w:jc w:val="center"/>
      </w:pPr>
      <w:r>
        <w:rPr>
          <w:color w:val="17365D"/>
        </w:rPr>
        <w:t>FASTVet® TFAST® Rules for Differentiating PE from PCE</w:t>
      </w:r>
    </w:p>
    <w:p w14:paraId="2E827B70" w14:textId="77777777" w:rsidR="000C1DA0" w:rsidRDefault="00000000">
      <w:pPr>
        <w:spacing w:after="180"/>
        <w:jc w:val="center"/>
      </w:pPr>
      <w:r>
        <w:rPr>
          <w:i/>
          <w:color w:val="5A5A5A"/>
          <w:sz w:val="21"/>
        </w:rPr>
        <w:t>Quick-reference teaching chart for pleural effusion (PE) vs. pericardial effusion (PCE)</w:t>
      </w:r>
    </w:p>
    <w:tbl>
      <w:tblPr>
        <w:tblW w:w="0" w:type="auto"/>
        <w:jc w:val="center"/>
        <w:tblBorders>
          <w:top w:val="single" w:sz="4" w:space="0" w:color="D9E1F2"/>
          <w:left w:val="single" w:sz="4" w:space="0" w:color="D9E1F2"/>
          <w:bottom w:val="single" w:sz="4" w:space="0" w:color="D9E1F2"/>
          <w:right w:val="single" w:sz="4" w:space="0" w:color="D9E1F2"/>
          <w:insideH w:val="single" w:sz="4" w:space="0" w:color="D9E1F2"/>
          <w:insideV w:val="single" w:sz="4" w:space="0" w:color="D9E1F2"/>
        </w:tblBorders>
        <w:tblLook w:val="04A0" w:firstRow="1" w:lastRow="0" w:firstColumn="1" w:lastColumn="0" w:noHBand="0" w:noVBand="1"/>
      </w:tblPr>
      <w:tblGrid>
        <w:gridCol w:w="14256"/>
      </w:tblGrid>
      <w:tr w:rsidR="000C1DA0" w14:paraId="76E81418" w14:textId="77777777">
        <w:trPr>
          <w:jc w:val="center"/>
        </w:trPr>
        <w:tc>
          <w:tcPr>
            <w:tcW w:w="14256" w:type="dxa"/>
            <w:shd w:val="clear" w:color="auto" w:fill="D9EA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EC6423D" w14:textId="77777777" w:rsidR="000C1DA0" w:rsidRDefault="00000000">
            <w:pPr>
              <w:spacing w:after="0"/>
              <w:jc w:val="center"/>
            </w:pPr>
            <w:r>
              <w:rPr>
                <w:b/>
                <w:color w:val="17365D"/>
                <w:sz w:val="22"/>
              </w:rPr>
              <w:t>Heart Imaging Mantra: “Center the heart and clearly get it off the bottom of the screen.”</w:t>
            </w:r>
          </w:p>
        </w:tc>
      </w:tr>
    </w:tbl>
    <w:p w14:paraId="4057D92D" w14:textId="77777777" w:rsidR="000C1DA0" w:rsidRDefault="000C1DA0">
      <w:pPr>
        <w:spacing w:after="0"/>
      </w:pPr>
    </w:p>
    <w:tbl>
      <w:tblPr>
        <w:tblW w:w="0" w:type="auto"/>
        <w:jc w:val="center"/>
        <w:tblBorders>
          <w:top w:val="single" w:sz="4" w:space="0" w:color="D9E1F2"/>
          <w:left w:val="single" w:sz="4" w:space="0" w:color="D9E1F2"/>
          <w:bottom w:val="single" w:sz="4" w:space="0" w:color="D9E1F2"/>
          <w:right w:val="single" w:sz="4" w:space="0" w:color="D9E1F2"/>
          <w:insideH w:val="single" w:sz="4" w:space="0" w:color="D9E1F2"/>
          <w:insideV w:val="single" w:sz="4" w:space="0" w:color="D9E1F2"/>
        </w:tblBorders>
        <w:tblLayout w:type="fixed"/>
        <w:tblLook w:val="04A0" w:firstRow="1" w:lastRow="0" w:firstColumn="1" w:lastColumn="0" w:noHBand="0" w:noVBand="1"/>
      </w:tblPr>
      <w:tblGrid>
        <w:gridCol w:w="2232"/>
        <w:gridCol w:w="3816"/>
        <w:gridCol w:w="3816"/>
        <w:gridCol w:w="4392"/>
      </w:tblGrid>
      <w:tr w:rsidR="000C1DA0" w14:paraId="6C009189" w14:textId="77777777">
        <w:trPr>
          <w:tblHeader/>
          <w:jc w:val="center"/>
        </w:trPr>
        <w:tc>
          <w:tcPr>
            <w:tcW w:w="2232" w:type="dxa"/>
            <w:shd w:val="clear" w:color="auto" w:fill="17365D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053361F4" w14:textId="77777777" w:rsidR="000C1DA0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Rule / Imaging Feature</w:t>
            </w:r>
          </w:p>
        </w:tc>
        <w:tc>
          <w:tcPr>
            <w:tcW w:w="3816" w:type="dxa"/>
            <w:shd w:val="clear" w:color="auto" w:fill="17365D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1F416F83" w14:textId="77777777" w:rsidR="000C1DA0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Pleural Effusion (PE)</w:t>
            </w:r>
          </w:p>
        </w:tc>
        <w:tc>
          <w:tcPr>
            <w:tcW w:w="3816" w:type="dxa"/>
            <w:shd w:val="clear" w:color="auto" w:fill="17365D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2C5FABF7" w14:textId="77777777" w:rsidR="000C1DA0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Pericardial Effusion (PCE)</w:t>
            </w:r>
          </w:p>
        </w:tc>
        <w:tc>
          <w:tcPr>
            <w:tcW w:w="4392" w:type="dxa"/>
            <w:shd w:val="clear" w:color="auto" w:fill="17365D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6D54DF1F" w14:textId="77777777" w:rsidR="000C1DA0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Key Teaching Point</w:t>
            </w:r>
          </w:p>
        </w:tc>
      </w:tr>
      <w:tr w:rsidR="000C1DA0" w14:paraId="7B88E743" w14:textId="77777777">
        <w:trPr>
          <w:jc w:val="center"/>
        </w:trPr>
        <w:tc>
          <w:tcPr>
            <w:tcW w:w="2232" w:type="dxa"/>
            <w:shd w:val="clear" w:color="auto" w:fill="F4F7FA"/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6CDC168C" w14:textId="77777777" w:rsidR="000C1DA0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Heart Imaging Mantra</w:t>
            </w:r>
          </w:p>
        </w:tc>
        <w:tc>
          <w:tcPr>
            <w:tcW w:w="3816" w:type="dxa"/>
            <w:shd w:val="clear" w:color="auto" w:fill="EAF3F8"/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5259FAB6" w14:textId="77777777" w:rsidR="000C1DA0" w:rsidRDefault="00000000">
            <w:pPr>
              <w:spacing w:after="0" w:line="240" w:lineRule="auto"/>
            </w:pPr>
            <w:r>
              <w:rPr>
                <w:sz w:val="16"/>
              </w:rPr>
              <w:t>Fluid is identified outside and separate from the heart/pericardial sac.</w:t>
            </w:r>
          </w:p>
        </w:tc>
        <w:tc>
          <w:tcPr>
            <w:tcW w:w="3816" w:type="dxa"/>
            <w:shd w:val="clear" w:color="auto" w:fill="F6EEF8"/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60F3E9B6" w14:textId="77777777" w:rsidR="000C1DA0" w:rsidRDefault="00000000">
            <w:pPr>
              <w:spacing w:after="0" w:line="240" w:lineRule="auto"/>
            </w:pPr>
            <w:r>
              <w:rPr>
                <w:sz w:val="16"/>
              </w:rPr>
              <w:t>Fluid is identified within the pericardial sac surrounding the heart.</w:t>
            </w:r>
          </w:p>
        </w:tc>
        <w:tc>
          <w:tcPr>
            <w:tcW w:w="4392" w:type="dxa"/>
            <w:shd w:val="clear" w:color="auto" w:fill="F4F7FA"/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0859E3E8" w14:textId="77777777" w:rsidR="000C1DA0" w:rsidRDefault="00000000">
            <w:pPr>
              <w:spacing w:after="0" w:line="240" w:lineRule="auto"/>
            </w:pPr>
            <w:r>
              <w:rPr>
                <w:sz w:val="16"/>
              </w:rPr>
              <w:t>Use the bright (hyperechoic) pericardium in the far field as a landmark. Maintain enough depth to visualize the entire heart and surrounding structures.</w:t>
            </w:r>
          </w:p>
        </w:tc>
      </w:tr>
      <w:tr w:rsidR="000C1DA0" w14:paraId="12F9F45F" w14:textId="77777777">
        <w:trPr>
          <w:jc w:val="center"/>
        </w:trPr>
        <w:tc>
          <w:tcPr>
            <w:tcW w:w="2232" w:type="dxa"/>
            <w:shd w:val="clear" w:color="auto" w:fill="FFFFFF"/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4E1CE715" w14:textId="77777777" w:rsidR="000C1DA0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General Appearance</w:t>
            </w:r>
          </w:p>
        </w:tc>
        <w:tc>
          <w:tcPr>
            <w:tcW w:w="3816" w:type="dxa"/>
            <w:shd w:val="clear" w:color="auto" w:fill="F7FBFD"/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45D9E047" w14:textId="77777777" w:rsidR="000C1DA0" w:rsidRDefault="00000000">
            <w:pPr>
              <w:spacing w:after="0" w:line="240" w:lineRule="auto"/>
            </w:pPr>
            <w:r>
              <w:rPr>
                <w:sz w:val="16"/>
              </w:rPr>
              <w:t>Uncontained and unrestrained; may form triangular or angular collections.</w:t>
            </w:r>
          </w:p>
        </w:tc>
        <w:tc>
          <w:tcPr>
            <w:tcW w:w="3816" w:type="dxa"/>
            <w:shd w:val="clear" w:color="auto" w:fill="FCF8FC"/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527DE0DA" w14:textId="77777777" w:rsidR="000C1DA0" w:rsidRDefault="00000000">
            <w:pPr>
              <w:spacing w:after="0" w:line="240" w:lineRule="auto"/>
            </w:pPr>
            <w:r>
              <w:rPr>
                <w:sz w:val="16"/>
              </w:rPr>
              <w:t>Contained within the pericardial sac; therefore tends to appear rounded around the heart.</w:t>
            </w:r>
          </w:p>
        </w:tc>
        <w:tc>
          <w:tcPr>
            <w:tcW w:w="4392" w:type="dxa"/>
            <w:shd w:val="clear" w:color="auto" w:fill="FFFFFF"/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4227FBF6" w14:textId="77777777" w:rsidR="000C1DA0" w:rsidRDefault="00000000">
            <w:pPr>
              <w:spacing w:after="0" w:line="240" w:lineRule="auto"/>
            </w:pPr>
            <w:r>
              <w:rPr>
                <w:sz w:val="16"/>
              </w:rPr>
              <w:t>Think: PE = free fluid; PCE = contained fluid.</w:t>
            </w:r>
          </w:p>
        </w:tc>
      </w:tr>
      <w:tr w:rsidR="000C1DA0" w14:paraId="544D4542" w14:textId="77777777">
        <w:trPr>
          <w:jc w:val="center"/>
        </w:trPr>
        <w:tc>
          <w:tcPr>
            <w:tcW w:w="2232" w:type="dxa"/>
            <w:shd w:val="clear" w:color="auto" w:fill="F4F7FA"/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1A20987C" w14:textId="77777777" w:rsidR="000C1DA0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Diaphragmatico-Hepatic (DH) View</w:t>
            </w:r>
          </w:p>
        </w:tc>
        <w:tc>
          <w:tcPr>
            <w:tcW w:w="3816" w:type="dxa"/>
            <w:shd w:val="clear" w:color="auto" w:fill="EAF3F8"/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6F869AD2" w14:textId="77777777" w:rsidR="000C1DA0" w:rsidRDefault="00000000">
            <w:pPr>
              <w:spacing w:after="0" w:line="240" w:lineRule="auto"/>
            </w:pPr>
            <w:r>
              <w:rPr>
                <w:sz w:val="16"/>
              </w:rPr>
              <w:t>Look for wafting pleural fluid.</w:t>
            </w:r>
          </w:p>
        </w:tc>
        <w:tc>
          <w:tcPr>
            <w:tcW w:w="3816" w:type="dxa"/>
            <w:shd w:val="clear" w:color="auto" w:fill="F6EEF8"/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19EE58F6" w14:textId="01F62EE0" w:rsidR="000C1DA0" w:rsidRDefault="00000000">
            <w:pPr>
              <w:spacing w:after="0" w:line="240" w:lineRule="auto"/>
            </w:pPr>
            <w:r>
              <w:rPr>
                <w:sz w:val="16"/>
              </w:rPr>
              <w:t>Look for the “Racetrack Sign”</w:t>
            </w:r>
            <w:r w:rsidR="002270FB">
              <w:rPr>
                <w:sz w:val="16"/>
              </w:rPr>
              <w:t xml:space="preserve"> at the AFAST</w:t>
            </w:r>
            <w:r w:rsidR="002270FB">
              <w:rPr>
                <w:color w:val="17365D"/>
              </w:rPr>
              <w:t>®</w:t>
            </w:r>
            <w:r w:rsidR="002270FB">
              <w:rPr>
                <w:sz w:val="16"/>
              </w:rPr>
              <w:t xml:space="preserve"> DH View.</w:t>
            </w:r>
          </w:p>
        </w:tc>
        <w:tc>
          <w:tcPr>
            <w:tcW w:w="4392" w:type="dxa"/>
            <w:shd w:val="clear" w:color="auto" w:fill="F4F7FA"/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67D793C8" w14:textId="77777777" w:rsidR="000C1DA0" w:rsidRDefault="00000000">
            <w:pPr>
              <w:spacing w:after="0" w:line="240" w:lineRule="auto"/>
            </w:pPr>
            <w:r>
              <w:rPr>
                <w:sz w:val="16"/>
              </w:rPr>
              <w:t>The Racetrack Sign is highly supportive of clinically relevant PCE.</w:t>
            </w:r>
          </w:p>
        </w:tc>
      </w:tr>
      <w:tr w:rsidR="000C1DA0" w14:paraId="591C7BE4" w14:textId="77777777">
        <w:trPr>
          <w:jc w:val="center"/>
        </w:trPr>
        <w:tc>
          <w:tcPr>
            <w:tcW w:w="2232" w:type="dxa"/>
            <w:shd w:val="clear" w:color="auto" w:fill="FFFFFF"/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3366DA81" w14:textId="77777777" w:rsidR="000C1DA0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Fluid Adjacent to the Heart</w:t>
            </w:r>
          </w:p>
        </w:tc>
        <w:tc>
          <w:tcPr>
            <w:tcW w:w="3816" w:type="dxa"/>
            <w:shd w:val="clear" w:color="auto" w:fill="F7FBFD"/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0BD9656D" w14:textId="77777777" w:rsidR="000C1DA0" w:rsidRDefault="00000000">
            <w:pPr>
              <w:spacing w:after="0" w:line="240" w:lineRule="auto"/>
            </w:pPr>
            <w:r>
              <w:rPr>
                <w:sz w:val="16"/>
              </w:rPr>
              <w:t>May appear as triangulations offset from the heart.</w:t>
            </w:r>
          </w:p>
        </w:tc>
        <w:tc>
          <w:tcPr>
            <w:tcW w:w="3816" w:type="dxa"/>
            <w:shd w:val="clear" w:color="auto" w:fill="FCF8FC"/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2E14C2EB" w14:textId="77777777" w:rsidR="000C1DA0" w:rsidRDefault="00000000">
            <w:pPr>
              <w:spacing w:after="0" w:line="240" w:lineRule="auto"/>
            </w:pPr>
            <w:r>
              <w:rPr>
                <w:sz w:val="16"/>
              </w:rPr>
              <w:t>Typically follows the contour of the heart because it is contained by the pericardium.</w:t>
            </w:r>
          </w:p>
        </w:tc>
        <w:tc>
          <w:tcPr>
            <w:tcW w:w="4392" w:type="dxa"/>
            <w:shd w:val="clear" w:color="auto" w:fill="FFFFFF"/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6D866D50" w14:textId="77777777" w:rsidR="000C1DA0" w:rsidRDefault="00000000">
            <w:pPr>
              <w:spacing w:after="0" w:line="240" w:lineRule="auto"/>
            </w:pPr>
            <w:r>
              <w:rPr>
                <w:sz w:val="16"/>
              </w:rPr>
              <w:t>Proper depth and complete visualization of the heart help distinguish PE from PCE.</w:t>
            </w:r>
          </w:p>
        </w:tc>
      </w:tr>
      <w:tr w:rsidR="000C1DA0" w14:paraId="3B69DA43" w14:textId="77777777">
        <w:trPr>
          <w:jc w:val="center"/>
        </w:trPr>
        <w:tc>
          <w:tcPr>
            <w:tcW w:w="2232" w:type="dxa"/>
            <w:shd w:val="clear" w:color="auto" w:fill="F4F7FA"/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34C9ADF9" w14:textId="77777777" w:rsidR="000C1DA0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Small-Volume Effusion</w:t>
            </w:r>
          </w:p>
        </w:tc>
        <w:tc>
          <w:tcPr>
            <w:tcW w:w="3816" w:type="dxa"/>
            <w:shd w:val="clear" w:color="auto" w:fill="EAF3F8"/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3824029F" w14:textId="77777777" w:rsidR="000C1DA0" w:rsidRDefault="00000000">
            <w:pPr>
              <w:spacing w:after="0" w:line="240" w:lineRule="auto"/>
            </w:pPr>
            <w:r>
              <w:rPr>
                <w:sz w:val="16"/>
              </w:rPr>
              <w:t>Look cranial and caudal to the heart for small amounts of PE and the “Curtain Sign.”</w:t>
            </w:r>
          </w:p>
        </w:tc>
        <w:tc>
          <w:tcPr>
            <w:tcW w:w="3816" w:type="dxa"/>
            <w:shd w:val="clear" w:color="auto" w:fill="F6EEF8"/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58856D72" w14:textId="77777777" w:rsidR="000C1DA0" w:rsidRDefault="00000000">
            <w:pPr>
              <w:spacing w:after="0" w:line="240" w:lineRule="auto"/>
            </w:pPr>
            <w:r>
              <w:rPr>
                <w:sz w:val="16"/>
              </w:rPr>
              <w:t>Small-volume PCE remains confined within the pericardial sac.</w:t>
            </w:r>
          </w:p>
        </w:tc>
        <w:tc>
          <w:tcPr>
            <w:tcW w:w="4392" w:type="dxa"/>
            <w:shd w:val="clear" w:color="auto" w:fill="F4F7FA"/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11C48688" w14:textId="77777777" w:rsidR="000C1DA0" w:rsidRDefault="00000000">
            <w:pPr>
              <w:spacing w:after="0" w:line="240" w:lineRule="auto"/>
            </w:pPr>
            <w:r>
              <w:rPr>
                <w:sz w:val="16"/>
              </w:rPr>
              <w:t>Evaluate both sides of the heart rather than relying on a single image.</w:t>
            </w:r>
          </w:p>
        </w:tc>
      </w:tr>
      <w:tr w:rsidR="000C1DA0" w14:paraId="1DA0E30B" w14:textId="77777777">
        <w:trPr>
          <w:jc w:val="center"/>
        </w:trPr>
        <w:tc>
          <w:tcPr>
            <w:tcW w:w="2232" w:type="dxa"/>
            <w:shd w:val="clear" w:color="auto" w:fill="FFFFFF"/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66E7016C" w14:textId="77777777" w:rsidR="000C1DA0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Muscular Apex</w:t>
            </w:r>
          </w:p>
        </w:tc>
        <w:tc>
          <w:tcPr>
            <w:tcW w:w="3816" w:type="dxa"/>
            <w:shd w:val="clear" w:color="auto" w:fill="F7FBFD"/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472E7835" w14:textId="77777777" w:rsidR="000C1DA0" w:rsidRDefault="00000000">
            <w:pPr>
              <w:spacing w:after="0" w:line="240" w:lineRule="auto"/>
            </w:pPr>
            <w:r>
              <w:rPr>
                <w:sz w:val="16"/>
              </w:rPr>
              <w:t>Fluid outside the heart can be distinguished from cardiac chambers.</w:t>
            </w:r>
          </w:p>
        </w:tc>
        <w:tc>
          <w:tcPr>
            <w:tcW w:w="3816" w:type="dxa"/>
            <w:shd w:val="clear" w:color="auto" w:fill="FCF8FC"/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5CC65947" w14:textId="77777777" w:rsidR="000C1DA0" w:rsidRDefault="00000000">
            <w:pPr>
              <w:spacing w:after="0" w:line="240" w:lineRule="auto"/>
            </w:pPr>
            <w:r>
              <w:rPr>
                <w:sz w:val="16"/>
              </w:rPr>
              <w:t>Useful for confirming that suspected fluid is outside the chambers but within the pericardial sac.</w:t>
            </w:r>
          </w:p>
        </w:tc>
        <w:tc>
          <w:tcPr>
            <w:tcW w:w="4392" w:type="dxa"/>
            <w:shd w:val="clear" w:color="auto" w:fill="FFFFFF"/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405BD255" w14:textId="77777777" w:rsidR="000C1DA0" w:rsidRDefault="00000000">
            <w:pPr>
              <w:spacing w:after="0" w:line="240" w:lineRule="auto"/>
            </w:pPr>
            <w:r>
              <w:rPr>
                <w:sz w:val="16"/>
              </w:rPr>
              <w:t>Imaging toward the muscular apex reduces the risk of mistaking the crescent-shaped RV or left auricular appendage for effusion.</w:t>
            </w:r>
          </w:p>
        </w:tc>
      </w:tr>
      <w:tr w:rsidR="000C1DA0" w14:paraId="29C81952" w14:textId="77777777">
        <w:trPr>
          <w:jc w:val="center"/>
        </w:trPr>
        <w:tc>
          <w:tcPr>
            <w:tcW w:w="2232" w:type="dxa"/>
            <w:shd w:val="clear" w:color="auto" w:fill="F4F7FA"/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4032E082" w14:textId="77777777" w:rsidR="000C1DA0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Right TFAST® Pericardial Site</w:t>
            </w:r>
          </w:p>
        </w:tc>
        <w:tc>
          <w:tcPr>
            <w:tcW w:w="3816" w:type="dxa"/>
            <w:shd w:val="clear" w:color="auto" w:fill="EAF3F8"/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7ADBA7F3" w14:textId="77777777" w:rsidR="000C1DA0" w:rsidRDefault="00000000">
            <w:pPr>
              <w:spacing w:after="0" w:line="240" w:lineRule="auto"/>
            </w:pPr>
            <w:r>
              <w:rPr>
                <w:sz w:val="16"/>
              </w:rPr>
              <w:t>PE may be present outside the pericardial boundary.</w:t>
            </w:r>
          </w:p>
        </w:tc>
        <w:tc>
          <w:tcPr>
            <w:tcW w:w="3816" w:type="dxa"/>
            <w:shd w:val="clear" w:color="auto" w:fill="F6EEF8"/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57C7157B" w14:textId="77777777" w:rsidR="000C1DA0" w:rsidRDefault="00000000">
            <w:pPr>
              <w:spacing w:after="0" w:line="240" w:lineRule="auto"/>
            </w:pPr>
            <w:r>
              <w:rPr>
                <w:sz w:val="16"/>
              </w:rPr>
              <w:t>Look for the “Bull’s Eye Sign.”</w:t>
            </w:r>
          </w:p>
        </w:tc>
        <w:tc>
          <w:tcPr>
            <w:tcW w:w="4392" w:type="dxa"/>
            <w:shd w:val="clear" w:color="auto" w:fill="F4F7FA"/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0B8FE16F" w14:textId="77777777" w:rsidR="000C1DA0" w:rsidRDefault="00000000">
            <w:pPr>
              <w:spacing w:after="0" w:line="240" w:lineRule="auto"/>
            </w:pPr>
            <w:r>
              <w:rPr>
                <w:sz w:val="16"/>
              </w:rPr>
              <w:t>The Bull’s Eye SAx level is the preferred short-axis level for identifying PCE.</w:t>
            </w:r>
          </w:p>
        </w:tc>
      </w:tr>
      <w:tr w:rsidR="000C1DA0" w14:paraId="687AA5A6" w14:textId="77777777">
        <w:trPr>
          <w:jc w:val="center"/>
        </w:trPr>
        <w:tc>
          <w:tcPr>
            <w:tcW w:w="2232" w:type="dxa"/>
            <w:shd w:val="clear" w:color="auto" w:fill="FFFFFF"/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7C8028E4" w14:textId="77777777" w:rsidR="000C1DA0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Long-Axis 4-Chamber View</w:t>
            </w:r>
          </w:p>
        </w:tc>
        <w:tc>
          <w:tcPr>
            <w:tcW w:w="3816" w:type="dxa"/>
            <w:shd w:val="clear" w:color="auto" w:fill="F7FBFD"/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5BADA551" w14:textId="77777777" w:rsidR="000C1DA0" w:rsidRDefault="00000000">
            <w:pPr>
              <w:spacing w:after="0" w:line="240" w:lineRule="auto"/>
            </w:pPr>
            <w:r>
              <w:rPr>
                <w:sz w:val="16"/>
              </w:rPr>
              <w:t>PE lies outside the four cardiac chambers and outside the pericardial sac.</w:t>
            </w:r>
          </w:p>
        </w:tc>
        <w:tc>
          <w:tcPr>
            <w:tcW w:w="3816" w:type="dxa"/>
            <w:shd w:val="clear" w:color="auto" w:fill="FCF8FC"/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2FAC033F" w14:textId="77777777" w:rsidR="000C1DA0" w:rsidRDefault="00000000">
            <w:pPr>
              <w:spacing w:after="0" w:line="240" w:lineRule="auto"/>
            </w:pPr>
            <w:r>
              <w:rPr>
                <w:sz w:val="16"/>
              </w:rPr>
              <w:t>PCE is visible outside the four cardiac chambers but inside the pericardial sac.</w:t>
            </w:r>
          </w:p>
        </w:tc>
        <w:tc>
          <w:tcPr>
            <w:tcW w:w="4392" w:type="dxa"/>
            <w:shd w:val="clear" w:color="auto" w:fill="FFFFFF"/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75055429" w14:textId="77777777" w:rsidR="000C1DA0" w:rsidRDefault="00000000">
            <w:pPr>
              <w:spacing w:after="0" w:line="240" w:lineRule="auto"/>
            </w:pPr>
            <w:r>
              <w:rPr>
                <w:sz w:val="16"/>
              </w:rPr>
              <w:t>Identifying all four chambers makes it easier to confirm that apparent fluid is not a cardiac chamber.</w:t>
            </w:r>
          </w:p>
        </w:tc>
      </w:tr>
      <w:tr w:rsidR="000C1DA0" w14:paraId="7757AED2" w14:textId="77777777">
        <w:trPr>
          <w:jc w:val="center"/>
        </w:trPr>
        <w:tc>
          <w:tcPr>
            <w:tcW w:w="2232" w:type="dxa"/>
            <w:shd w:val="clear" w:color="auto" w:fill="F4F7FA"/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4431BBC7" w14:textId="77777777" w:rsidR="000C1DA0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Short-Axis (SAx) Warning</w:t>
            </w:r>
          </w:p>
        </w:tc>
        <w:tc>
          <w:tcPr>
            <w:tcW w:w="3816" w:type="dxa"/>
            <w:shd w:val="clear" w:color="auto" w:fill="EAF3F8"/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42FD9F67" w14:textId="77777777" w:rsidR="000C1DA0" w:rsidRDefault="00000000">
            <w:pPr>
              <w:spacing w:after="0" w:line="240" w:lineRule="auto"/>
            </w:pPr>
            <w:r>
              <w:rPr>
                <w:sz w:val="16"/>
              </w:rPr>
              <w:t>The crescent-shaped RV may be mistakenly interpreted as PE.</w:t>
            </w:r>
          </w:p>
        </w:tc>
        <w:tc>
          <w:tcPr>
            <w:tcW w:w="3816" w:type="dxa"/>
            <w:shd w:val="clear" w:color="auto" w:fill="F6EEF8"/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16D911A8" w14:textId="77777777" w:rsidR="000C1DA0" w:rsidRDefault="00000000">
            <w:pPr>
              <w:spacing w:after="0" w:line="240" w:lineRule="auto"/>
            </w:pPr>
            <w:r>
              <w:rPr>
                <w:sz w:val="16"/>
              </w:rPr>
              <w:t>The crescent-shaped RV may be mistakenly interpreted as PCE.</w:t>
            </w:r>
          </w:p>
        </w:tc>
        <w:tc>
          <w:tcPr>
            <w:tcW w:w="4392" w:type="dxa"/>
            <w:shd w:val="clear" w:color="auto" w:fill="F4F7FA"/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20870857" w14:textId="77777777" w:rsidR="000C1DA0" w:rsidRDefault="00000000">
            <w:pPr>
              <w:spacing w:after="0" w:line="240" w:lineRule="auto"/>
            </w:pPr>
            <w:r>
              <w:rPr>
                <w:sz w:val="16"/>
              </w:rPr>
              <w:t>NEVER diagnose PCE solely from a right-sided LV SAx view unless at the “Bull’s Eye” level.</w:t>
            </w:r>
          </w:p>
        </w:tc>
      </w:tr>
      <w:tr w:rsidR="000C1DA0" w14:paraId="7235992C" w14:textId="77777777">
        <w:trPr>
          <w:jc w:val="center"/>
        </w:trPr>
        <w:tc>
          <w:tcPr>
            <w:tcW w:w="2232" w:type="dxa"/>
            <w:shd w:val="clear" w:color="auto" w:fill="FFFFFF"/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79DA977C" w14:textId="77777777" w:rsidR="000C1DA0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Distressed Cats</w:t>
            </w:r>
          </w:p>
        </w:tc>
        <w:tc>
          <w:tcPr>
            <w:tcW w:w="3816" w:type="dxa"/>
            <w:shd w:val="clear" w:color="auto" w:fill="F7FBFD"/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51F27126" w14:textId="77777777" w:rsidR="000C1DA0" w:rsidRDefault="00000000">
            <w:pPr>
              <w:spacing w:after="0" w:line="240" w:lineRule="auto"/>
            </w:pPr>
            <w:r>
              <w:rPr>
                <w:sz w:val="16"/>
              </w:rPr>
              <w:t>Capture diagnostic images quickly before minimizing handling.</w:t>
            </w:r>
          </w:p>
        </w:tc>
        <w:tc>
          <w:tcPr>
            <w:tcW w:w="3816" w:type="dxa"/>
            <w:shd w:val="clear" w:color="auto" w:fill="FCF8FC"/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5CEB9772" w14:textId="77777777" w:rsidR="000C1DA0" w:rsidRDefault="00000000">
            <w:pPr>
              <w:spacing w:after="0" w:line="240" w:lineRule="auto"/>
            </w:pPr>
            <w:r>
              <w:rPr>
                <w:sz w:val="16"/>
              </w:rPr>
              <w:t>The same principle applies when PCE is suspected.</w:t>
            </w:r>
          </w:p>
        </w:tc>
        <w:tc>
          <w:tcPr>
            <w:tcW w:w="4392" w:type="dxa"/>
            <w:shd w:val="clear" w:color="auto" w:fill="FFFFFF"/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551DC5AE" w14:textId="77777777" w:rsidR="000C1DA0" w:rsidRDefault="00000000">
            <w:pPr>
              <w:spacing w:after="0" w:line="240" w:lineRule="auto"/>
            </w:pPr>
            <w:r>
              <w:rPr>
                <w:sz w:val="16"/>
              </w:rPr>
              <w:t>“Save, save, save.” Obtain cine clips, place the cat in oxygen, then review the captured images.</w:t>
            </w:r>
          </w:p>
        </w:tc>
      </w:tr>
      <w:tr w:rsidR="000C1DA0" w14:paraId="3BE3CF2C" w14:textId="77777777">
        <w:trPr>
          <w:jc w:val="center"/>
        </w:trPr>
        <w:tc>
          <w:tcPr>
            <w:tcW w:w="2232" w:type="dxa"/>
            <w:shd w:val="clear" w:color="auto" w:fill="F4F7FA"/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0D421B95" w14:textId="77777777" w:rsidR="000C1DA0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Cine Clips</w:t>
            </w:r>
          </w:p>
        </w:tc>
        <w:tc>
          <w:tcPr>
            <w:tcW w:w="3816" w:type="dxa"/>
            <w:shd w:val="clear" w:color="auto" w:fill="EAF3F8"/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3C28DA80" w14:textId="77777777" w:rsidR="000C1DA0" w:rsidRDefault="00000000">
            <w:pPr>
              <w:spacing w:after="0" w:line="240" w:lineRule="auto"/>
            </w:pPr>
            <w:r>
              <w:rPr>
                <w:sz w:val="16"/>
              </w:rPr>
              <w:t>Helpful for recognizing movement or wafting of free PE.</w:t>
            </w:r>
          </w:p>
        </w:tc>
        <w:tc>
          <w:tcPr>
            <w:tcW w:w="3816" w:type="dxa"/>
            <w:shd w:val="clear" w:color="auto" w:fill="F6EEF8"/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06534342" w14:textId="77777777" w:rsidR="000C1DA0" w:rsidRDefault="00000000">
            <w:pPr>
              <w:spacing w:after="0" w:line="240" w:lineRule="auto"/>
            </w:pPr>
            <w:r>
              <w:rPr>
                <w:sz w:val="16"/>
              </w:rPr>
              <w:t>Helpful for evaluating fluid surrounding the beating heart within the pericardial sac.</w:t>
            </w:r>
          </w:p>
        </w:tc>
        <w:tc>
          <w:tcPr>
            <w:tcW w:w="4392" w:type="dxa"/>
            <w:shd w:val="clear" w:color="auto" w:fill="F4F7FA"/>
            <w:tcMar>
              <w:top w:w="65" w:type="dxa"/>
              <w:left w:w="70" w:type="dxa"/>
              <w:bottom w:w="65" w:type="dxa"/>
              <w:right w:w="70" w:type="dxa"/>
            </w:tcMar>
          </w:tcPr>
          <w:p w14:paraId="4347FDE3" w14:textId="77777777" w:rsidR="000C1DA0" w:rsidRDefault="00000000">
            <w:pPr>
              <w:spacing w:after="0" w:line="240" w:lineRule="auto"/>
            </w:pPr>
            <w:r>
              <w:rPr>
                <w:sz w:val="16"/>
              </w:rPr>
              <w:t>Save multiple cine loops for review after image acquisition.</w:t>
            </w:r>
          </w:p>
        </w:tc>
      </w:tr>
    </w:tbl>
    <w:p w14:paraId="1AE91800" w14:textId="77777777" w:rsidR="003853FF" w:rsidRDefault="003853FF"/>
    <w:sectPr w:rsidR="003853FF" w:rsidSect="00034616">
      <w:footerReference w:type="default" r:id="rId8"/>
      <w:pgSz w:w="15840" w:h="12240" w:orient="landscape"/>
      <w:pgMar w:top="792" w:right="792" w:bottom="792" w:left="7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0A9A5E" w14:textId="77777777" w:rsidR="003853FF" w:rsidRDefault="003853FF">
      <w:pPr>
        <w:spacing w:after="0" w:line="240" w:lineRule="auto"/>
      </w:pPr>
      <w:r>
        <w:separator/>
      </w:r>
    </w:p>
  </w:endnote>
  <w:endnote w:type="continuationSeparator" w:id="0">
    <w:p w14:paraId="725A82FB" w14:textId="77777777" w:rsidR="003853FF" w:rsidRDefault="003853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2BCD6" w14:textId="77777777" w:rsidR="000C1DA0" w:rsidRDefault="00000000">
    <w:pPr>
      <w:pStyle w:val="Footer"/>
      <w:jc w:val="center"/>
    </w:pPr>
    <w:proofErr w:type="spellStart"/>
    <w:r>
      <w:rPr>
        <w:color w:val="6E6E6E"/>
        <w:sz w:val="16"/>
      </w:rPr>
      <w:t>FASTVet</w:t>
    </w:r>
    <w:proofErr w:type="spellEnd"/>
    <w:r>
      <w:rPr>
        <w:color w:val="6E6E6E"/>
        <w:sz w:val="16"/>
      </w:rPr>
      <w:t>® / TFAST® Educational Reference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ABDAA" w14:textId="77777777" w:rsidR="003853FF" w:rsidRDefault="003853FF">
      <w:pPr>
        <w:spacing w:after="0" w:line="240" w:lineRule="auto"/>
      </w:pPr>
      <w:r>
        <w:separator/>
      </w:r>
    </w:p>
  </w:footnote>
  <w:footnote w:type="continuationSeparator" w:id="0">
    <w:p w14:paraId="6DD68656" w14:textId="77777777" w:rsidR="003853FF" w:rsidRDefault="003853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41513737">
    <w:abstractNumId w:val="8"/>
  </w:num>
  <w:num w:numId="2" w16cid:durableId="1231044270">
    <w:abstractNumId w:val="6"/>
  </w:num>
  <w:num w:numId="3" w16cid:durableId="606811623">
    <w:abstractNumId w:val="5"/>
  </w:num>
  <w:num w:numId="4" w16cid:durableId="1881937752">
    <w:abstractNumId w:val="4"/>
  </w:num>
  <w:num w:numId="5" w16cid:durableId="1189372727">
    <w:abstractNumId w:val="7"/>
  </w:num>
  <w:num w:numId="6" w16cid:durableId="120616944">
    <w:abstractNumId w:val="3"/>
  </w:num>
  <w:num w:numId="7" w16cid:durableId="730157877">
    <w:abstractNumId w:val="2"/>
  </w:num>
  <w:num w:numId="8" w16cid:durableId="1783764032">
    <w:abstractNumId w:val="1"/>
  </w:num>
  <w:num w:numId="9" w16cid:durableId="1540585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1DA0"/>
    <w:rsid w:val="0015074B"/>
    <w:rsid w:val="002270FB"/>
    <w:rsid w:val="0029639D"/>
    <w:rsid w:val="00326F90"/>
    <w:rsid w:val="003853FF"/>
    <w:rsid w:val="00AA1D8D"/>
    <w:rsid w:val="00B410BB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1ECE533"/>
  <w14:defaultImageDpi w14:val="300"/>
  <w15:docId w15:val="{F7D43455-1183-4895-93F6-71F265C27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1124</TotalTime>
  <Pages>1</Pages>
  <Words>451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Stephanie Lisciandro</cp:lastModifiedBy>
  <cp:revision>2</cp:revision>
  <cp:lastPrinted>2026-08-13T21:09:00Z</cp:lastPrinted>
  <dcterms:created xsi:type="dcterms:W3CDTF">2026-08-14T15:53:00Z</dcterms:created>
  <dcterms:modified xsi:type="dcterms:W3CDTF">2026-08-14T15:53:00Z</dcterms:modified>
  <cp:category/>
</cp:coreProperties>
</file>